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Default Extension="jpg" ContentType="image/jpg"/>
  <Default Extension="jpeg" ContentType="image/jpeg"/>
  <Override PartName="/word/styles.xml" ContentType="application/vnd.openxmlformats-officedocument.wordprocessingml.styles+xml"/>
  <Override PartName="/word/settings.xml" ContentType="application/vnd.openxmlformats-officedocument.wordprocessingml.setting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06e57909ab8a4125" /><Relationship Type="http://schemas.openxmlformats.org/officeDocument/2006/relationships/custom-properties" Target="/docProps/custom.xml" Id="Ra7341da7b5d8477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drawing xmlns="http://schemas.openxmlformats.org/wordprocessingml/2006/main">
        <wp:inline xmlns:wp="http://schemas.openxmlformats.org/drawingml/2006/wordprocessingDrawing" distT="0" distB="0" distL="0" distR="0">
          <wp:extent cx="4143810" cy="61919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44ca3e11b18453d"/>
                  <a:stretch>
                    <a:fillRect/>
                  </a:stretch>
                </pic:blipFill>
                <pic:spPr>
                  <a:xfrm>
                    <a:off x="0" y="0"/>
                    <a:ext cx="4143810" cy="619190"/>
                  </a:xfrm>
                  <a:prstGeom prst="rect">
                    <a:avLst/>
                  </a:prstGeom>
                </pic:spPr>
              </pic:pic>
            </a:graphicData>
          </a:graphic>
        </wp:inline>
      </drawing>
      <w:pPr/>
    </w:p>
    <w:p>
      <w:pPr/>
    </w:p>
    <w:tbl>
      <w:tblPr>
        <w:tblStyle w:val="MediumList2-Accent1"/>
        <w:tblW w:w="5000" w:type="pct"/>
        <w:tblLook w:val="04A0"/>
      </w:tblPr>
      <w:tblGrid>
        <w:gridCol w:w="2310"/>
        <w:gridCol w:w="2310"/>
      </w:tblGrid>
      <w:tr>
        <w:tc>
          <w:tcPr>
            <w:tcW w:w="2310" w:type="pct"/>
          </w:tcPr>
          <w:p>
            <w:pPr/>
            <w:fldSimple w:instr="DOCPROPERTY profile_name \* MERGEFORMAT">
              <w:r>
                <w:t>
                  <w:rPr>
                    <w:lang w:val="en-US"/>
                    <w:b/>
                    <w:sz w:val="40"/>
                    <w:szCs w:val="40"/>
                    <w:color w:val="BD2F3C"/>
                  </w:rPr>
                  Carlos A. Torres-Ramos Ph.D.
                </w:t>
              </w:r>
            </w:fldSimple>
            <w:r>
              <w:rPr>
                <w:lang w:val="en-US"/>
                <w:b/>
                <w:sz w:val="24"/>
                <w:szCs w:val="24"/>
                <w:color w:val="505050"/>
              </w:rPr>
              <w:br/>
            </w:r>
            <w:r>
              <w:rPr>
                <w:lang w:val="en-US"/>
                <w:b/>
                <w:sz w:val="24"/>
                <w:szCs w:val="24"/>
                <w:color w:val="505050"/>
              </w:rPr>
              <w:br/>
            </w:r>
            <w:r>
              <w:rPr>
                <w:lang w:val="en-US"/>
                <w:b/>
                <w:sz w:val="24"/>
                <w:szCs w:val="24"/>
                <w:color w:val="505050"/>
              </w:rPr>
              <w:t>Affiliation:</w:t>
            </w:r>
            <w:r>
              <w:rPr>
                <w:lang w:val="en-US"/>
                <w:i/>
                <w:sz w:val="22"/>
                <w:szCs w:val="22"/>
                <w:color w:val="5A5A5A"/>
              </w:rPr>
              <w:br/>
            </w:r>
            <w:fldSimple w:instr="DOCPROPERTY profile_institution \* MERGEFORMAT">
              <w:r>
                <w:t xml:space="preserve">
                  <w:rPr>
                    <w:lang w:val="en-US"/>
                    <w:i/>
                    <w:sz w:val="22"/>
                    <w:szCs w:val="22"/>
                    <w:color w:val="5A5A5A"/>
                  </w:rPr>
                        University of Puerto Rico
                </w:t>
              </w:r>
            </w:fldSimple>
            <w:r>
              <w:rPr>
                <w:lang w:val="en-US"/>
                <w:i/>
                <w:sz w:val="22"/>
                <w:szCs w:val="22"/>
                <w:color w:val="5A5A5A"/>
              </w:rPr>
              <w:br/>
            </w:r>
            <w:fldSimple w:instr="DOCPROPERTY profile_department \* MERGEFORMAT">
              <w:r>
                <w:t xml:space="preserve">
                  <w:rPr>
                    <w:lang w:val="en-US"/>
                    <w:i/>
                    <w:sz w:val="22"/>
                    <w:szCs w:val="22"/>
                    <w:color w:val="5A5A5A"/>
                  </w:rPr>
                        Department of Physiology
                </w:t>
              </w:r>
            </w:fldSimple>
            <w:r>
              <w:rPr>
                <w:lang w:val="en-US"/>
                <w:i/>
                <w:sz w:val="22"/>
                <w:szCs w:val="22"/>
                <w:color w:val="5A5A5A"/>
              </w:rPr>
              <w:br/>
            </w:r>
            <w:fldSimple w:instr="DOCPROPERTY profile_division \* MERGEFORMAT">
              <w:r>
                <w:t xml:space="preserve">
                  <w:rPr>
                    <w:lang w:val="en-US"/>
                    <w:i/>
                    <w:sz w:val="22"/>
                    <w:szCs w:val="22"/>
                    <w:color w:val="5A5A5A"/>
                  </w:rPr>
                        "Cancer","Genes and Environmental Health/Toxicology","Obesity and Metabolic Syndromes"
                </w:t>
              </w:r>
            </w:fldSimple>
            <w:r>
              <w:rPr>
                <w:lang w:val="en-US"/>
                <w:i/>
                <w:sz w:val="22"/>
                <w:szCs w:val="22"/>
                <w:color w:val="5A5A5A"/>
              </w:rPr>
              <w:br/>
            </w:r>
            <w:fldSimple w:instr="DOCPROPERTY profile_title \* MERGEFORMAT">
              <w:r>
                <w:t xml:space="preserve">
                  <w:rPr>
                    <w:lang w:val="en-US"/>
                    <w:i/>
                    <w:sz w:val="22"/>
                    <w:szCs w:val="22"/>
                    <w:color w:val="5A5A5A"/>
                  </w:rPr>
                        Title: Principal Investigator
                </w:t>
              </w:r>
            </w:fldSimple>
            <w:r>
              <w:rPr>
                <w:lang w:val="en-US"/>
                <w:i/>
                <w:sz w:val="22"/>
                <w:szCs w:val="22"/>
                <w:color w:val="5A5A5A"/>
              </w:rPr>
              <w:br/>
            </w:r>
            <w:fldSimple w:instr="DOCPROPERTY profile_rank \* MERGEFORMAT">
              <w:r>
                <w:t xml:space="preserve">
                  <w:rPr>
                    <w:lang w:val="en-US"/>
                    <w:i/>
                    <w:sz w:val="22"/>
                    <w:szCs w:val="22"/>
                    <w:color w:val="5A5A5A"/>
                  </w:rPr>
                        Rank: Associate Professor
                </w:t>
              </w:r>
            </w:fldSimple>
            <w:r>
              <w:rPr>
                <w:lang w:val="en-US"/>
                <w:b/>
                <w:sz w:val="24"/>
                <w:szCs w:val="24"/>
                <w:color w:val="505050"/>
              </w:rPr>
              <w:br/>
            </w:r>
            <w:r>
              <w:rPr>
                <w:lang w:val="en-US"/>
                <w:b/>
                <w:sz w:val="24"/>
                <w:szCs w:val="24"/>
                <w:color w:val="505050"/>
              </w:rPr>
              <w:t>Address:</w:t>
            </w:r>
            <w:r>
              <w:rPr>
                <w:lang w:val="en-US"/>
                <w:i/>
                <w:sz w:val="22"/>
                <w:szCs w:val="22"/>
                <w:color w:val="5A5A5A"/>
              </w:rPr>
              <w:br/>
            </w:r>
            <w:fldSimple w:instr="DOCPROPERTY profile_address \* MERGEFORMAT">
              <w:r>
                <w:t xml:space="preserve">
                  <w:rPr>
                    <w:lang w:val="en-US"/>
                    <w:i/>
                    <w:sz w:val="22"/>
                    <w:szCs w:val="22"/>
                    <w:color w:val="5A5A5A"/>
                  </w:rPr>
                        PO Box 365067
                </w:t>
              </w:r>
            </w:fldSimple>
            <w:r>
              <w:rPr>
                <w:lang w:val="en-US"/>
                <w:i/>
                <w:sz w:val="22"/>
                <w:szCs w:val="22"/>
                <w:color w:val="5A5A5A"/>
              </w:rPr>
              <w:br/>
            </w:r>
            <w:fldSimple w:instr="DOCPROPERTY profile_city_state_zip \* MERGEFORMAT">
              <w:r>
                <w:t xml:space="preserve">
                  <w:rPr>
                    <w:lang w:val="en-US"/>
                    <w:i/>
                    <w:sz w:val="22"/>
                    <w:szCs w:val="22"/>
                    <w:color w:val="5A5A5A"/>
                  </w:rPr>
                        San Juan, PR 00936-5067
                </w:t>
              </w:r>
            </w:fldSimple>
            <w:r>
              <w:rPr>
                <w:lang w:val="en-US"/>
                <w:b/>
                <w:sz w:val="24"/>
                <w:szCs w:val="24"/>
                <w:color w:val="505050"/>
              </w:rPr>
              <w:br/>
            </w:r>
            <w:r>
              <w:rPr>
                <w:lang w:val="en-US"/>
                <w:b/>
                <w:sz w:val="24"/>
                <w:szCs w:val="24"/>
                <w:color w:val="505050"/>
              </w:rPr>
              <w:t>Contact:</w:t>
            </w:r>
            <w:r>
              <w:rPr>
                <w:lang w:val="en-US"/>
                <w:i/>
                <w:sz w:val="22"/>
                <w:szCs w:val="22"/>
                <w:color w:val="5A5A5A"/>
              </w:rPr>
              <w:br/>
            </w:r>
            <w:fldSimple w:instr="DOCPROPERTY profile_email \* MERGEFORMAT">
              <w:r>
                <w:t xml:space="preserve">
                  <w:rPr>
                    <w:lang w:val="en-US"/>
                    <w:i/>
                    <w:sz w:val="22"/>
                    <w:szCs w:val="22"/>
                    <w:color w:val="5A5A5A"/>
                  </w:rPr>
                        Email: carlos.torres27@upr.edu
                </w:t>
              </w:r>
            </w:fldSimple>
            <w:r>
              <w:rPr>
                <w:lang w:val="en-US"/>
                <w:i/>
                <w:sz w:val="22"/>
                <w:szCs w:val="22"/>
                <w:color w:val="5A5A5A"/>
              </w:rPr>
              <w:br/>
            </w:r>
            <w:fldSimple w:instr="DOCPROPERTY profile_phone \* MERGEFORMAT">
              <w:r>
                <w:t xml:space="preserve">
                  <w:rPr>
                    <w:lang w:val="en-US"/>
                    <w:i/>
                    <w:sz w:val="22"/>
                    <w:szCs w:val="22"/>
                    <w:color w:val="5A5A5A"/>
                  </w:rPr>
                        Telephone: 787-758-2525 x1393
                </w:t>
              </w:r>
            </w:fldSimple>
          </w:p>
          <w:p>
            <w:pPr/>
          </w:p>
        </w:tc>
        <w:tc>
          <w:tcPr>
            <w:tcW w:w="2310" w:type="pct"/>
          </w:tcPr>
          <w:p>
            <drawing xmlns="http://schemas.openxmlformats.org/wordprocessingml/2006/main">
              <wp:inline xmlns:wp="http://schemas.openxmlformats.org/drawingml/2006/wordprocessingDrawing" distT="0" distB="0" distL="0" distR="0">
                <wp:extent cx="1143000" cy="128587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bb04a034cf3413a"/>
                        <a:stretch>
                          <a:fillRect/>
                        </a:stretch>
                      </pic:blipFill>
                      <pic:spPr>
                        <a:xfrm>
                          <a:off x="0" y="0"/>
                          <a:ext cx="1143000" cy="1285875"/>
                        </a:xfrm>
                        <a:prstGeom prst="rect">
                          <a:avLst/>
                        </a:prstGeom>
                      </pic:spPr>
                    </pic:pic>
                  </a:graphicData>
                </a:graphic>
              </wp:inline>
            </drawing>
            <w:pPr>
              <w:jc w:val="right"/>
            </w:pPr>
          </w:p>
          <w:p>
            <drawing xmlns="http://schemas.openxmlformats.org/wordprocessingml/2006/main">
              <wp:inline xmlns:wp="http://schemas.openxmlformats.org/drawingml/2006/wordprocessingDrawing" distT="0" distB="0" distL="0" distR="0">
                <wp:extent cx="1286010" cy="128601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89e1852915a41de"/>
                        <a:stretch>
                          <a:fillRect/>
                        </a:stretch>
                      </pic:blipFill>
                      <pic:spPr>
                        <a:xfrm>
                          <a:off x="0" y="0"/>
                          <a:ext cx="1286010" cy="1286010"/>
                        </a:xfrm>
                        <a:prstGeom prst="rect">
                          <a:avLst/>
                        </a:prstGeom>
                      </pic:spPr>
                    </pic:pic>
                  </a:graphicData>
                </a:graphic>
              </wp:inline>
            </drawing>
            <w:pPr>
              <w:jc w:val="right"/>
            </w:pPr>
          </w:p>
        </w:tc>
      </w:tr>
    </w:tbl>
    <w:p>
      <w:pPr/>
    </w:p>
    <w:p>
      <w:pPr/>
      <w:r>
        <w:rPr>
          <w:lang w:val="en-US"/>
          <w:b/>
          <w:sz w:val="32"/>
          <w:szCs w:val="32"/>
          <w:color w:val="BD2F3C"/>
        </w:rPr>
        <w:t>Narrative</w:t>
      </w:r>
    </w:p>
    <w:tbl>
      <w:tblPr>
        <w:tblStyle w:val="TableNormal"/>
        <w:tblW w:w="5000" w:type="auto"/>
        <w:tblLook w:val="04A0"/>
        <w:jc w:val="center"/>
      </w:tblPr>
      <w:tblGrid>
        <w:gridCol w:w="2310"/>
      </w:tblGrid>
      <w:tr>
        <w:tc>
          <w:tcPr>
            <w:tcW w:w="2310" w:type="auto"/>
            <w:tcMar>
              <w:top w:type="dxa" w:w="75"/>
              <w:bottom w:type="dxa" w:w="75"/>
            </w:tcMar>
          </w:tcPr>
          <w:p>
            <w:pPr>
              <w:jc w:val="both"/>
            </w:pPr>
            <w:r>
              <w:rPr>
                <w:lang w:val="en-US"/>
                <w:i/>
                <w:sz w:val="22"/>
                <w:szCs w:val="22"/>
                <w:color w:val="5A5A5A"/>
              </w:rPr>
              <w:t>I am interested in understanding how mitochondrial DNA repair processes contribute to physiological functions. Studies in aging and pathological conditions such as cancer and some neurodegenerative disorders have revealed that maintenance of mitochondrial DNA integrity is essential for physiological processes. I am interested in understand how DNA repair contributes to mitochondrial function and how this relates to aging and cancer. In addition, my laboratory studies how environmental factors may affect mitochondrial DNA integrity and mitochondrial function. My laboratory uses a variety of experimental models such as yeast cells, mice, and human cells to ask questions about DNA repair and mitochondrial function.</w:t>
            </w:r>
          </w:p>
        </w:tc>
      </w:tr>
    </w:tbl>
    <w:p>
      <w:pPr/>
    </w:p>
    <w:p>
      <w:pPr/>
      <w:r>
        <w:rPr>
          <w:lang w:val="en-US"/>
          <w:b/>
          <w:sz w:val="32"/>
          <w:szCs w:val="32"/>
          <w:color w:val="BD2F3C"/>
        </w:rPr>
        <w:t>Publications</w:t>
      </w:r>
    </w:p>
    <w:tbl>
      <w:tblPr>
        <w:tblStyle w:val="MediumList1-Accent1"/>
        <w:tblW w:w="5000" w:type="auto"/>
        <w:tblLook w:val="04A0"/>
        <w:jc w:val="center"/>
      </w:tblPr>
      <w:tblGrid>
        <w:gridCol w:w="2310"/>
        <w:gridCol w:w="2310"/>
        <w:gridCol w:w="2310"/>
      </w:tblGrid>
      <w:tr>
        <w:tc>
          <w:tcPr>
            <w:tcW w:w="2310" w:type="auto"/>
          </w:tcPr>
          <w:p>
            <w:pPr/>
          </w:p>
        </w:tc>
        <w:tc>
          <w:tcPr>
            <w:tcW w:w="2310" w:type="auto"/>
          </w:tcPr>
          <w:p>
            <w:pPr/>
          </w:p>
        </w:tc>
        <w:tc>
          <w:tcPr>
            <w:tcW w:w="2310" w:type="auto"/>
          </w:tcPr>
          <w:p>
            <w:pPr/>
          </w:p>
        </w:tc>
      </w:tr>
      <w:tr>
        <w:tc>
          <w:tcPr>
            <w:tcW w:w="2310" w:type="auto"/>
            <w:tcMar>
              <w:top w:type="dxa" w:w="75"/>
              <w:bottom w:type="dxa" w:w="75"/>
            </w:tcMar>
          </w:tcPr>
          <w:p>
            <w:pPr/>
            <w:r>
              <w:rPr>
                <w:lang w:val="en-US"/>
                <w:b/>
                <w:sz w:val="24"/>
                <w:szCs w:val="24"/>
                <w:color w:val="505050"/>
              </w:rPr>
              <w:t>1.</w:t>
            </w:r>
          </w:p>
        </w:tc>
        <w:tc>
          <w:tcPr>
            <w:tcW w:w="2310" w:type="auto"/>
            <w:tcMar>
              <w:top w:type="dxa" w:w="75"/>
              <w:bottom w:type="dxa" w:w="75"/>
            </w:tcMar>
          </w:tcPr>
          <w:p>
            <w:pPr>
              <w:jc w:val="both"/>
            </w:pPr>
            <w:r>
              <w:rPr>
                <w:lang w:val="en-US"/>
                <w:i/>
                <w:sz w:val="22"/>
                <w:szCs w:val="22"/>
                <w:color w:val="5A5A5A"/>
              </w:rPr>
              <w:t>Forestier-Román IS, López-Rivas A, Sánchez-Vázquez MM, Rohena-Rivera K, Nieves-Burgos G, Ortiz-Zuazaga H, Torres-Ramos CA, Martínez-Ferrer M. Andrographolide induces DNA damage in prostate cancer cells. Oncotarget. 2019 Feb 01; 10(10):1085-1101.</w:t>
            </w:r>
          </w:p>
        </w:tc>
        <w:tc>
          <w:tcPr>
            <w:tcW w:w="2310" w:type="auto"/>
            <w:tcMar>
              <w:top w:type="dxa" w:w="75"/>
              <w:bottom w:type="dxa" w:w="75"/>
            </w:tcMar>
          </w:tcPr>
          <w:p>
            <w:pPr/>
            <w:hyperlink r:id="Rb43591efddd1434c" w:history="1">
              <w:r>
                <w:rPr>
                  <w:rStyle w:val="Hyperlink"/>
                </w:rPr>
                <w:t>PubMed</w:t>
              </w:r>
            </w:hyperlink>
          </w:p>
          <w:p>
            <w:pPr/>
          </w:p>
        </w:tc>
      </w:tr>
      <w:tr>
        <w:tc>
          <w:tcPr>
            <w:tcW w:w="2310" w:type="auto"/>
            <w:tcMar>
              <w:top w:type="dxa" w:w="75"/>
              <w:bottom w:type="dxa" w:w="75"/>
            </w:tcMar>
          </w:tcPr>
          <w:p>
            <w:pPr/>
            <w:r>
              <w:rPr>
                <w:lang w:val="en-US"/>
                <w:b/>
                <w:sz w:val="24"/>
                <w:szCs w:val="24"/>
                <w:color w:val="505050"/>
              </w:rPr>
              <w:t>2.</w:t>
            </w:r>
          </w:p>
        </w:tc>
        <w:tc>
          <w:tcPr>
            <w:tcW w:w="2310" w:type="auto"/>
            <w:tcMar>
              <w:top w:type="dxa" w:w="75"/>
              <w:bottom w:type="dxa" w:w="75"/>
            </w:tcMar>
          </w:tcPr>
          <w:p>
            <w:pPr>
              <w:jc w:val="both"/>
            </w:pPr>
            <w:r>
              <w:rPr>
                <w:lang w:val="en-US"/>
                <w:i/>
                <w:sz w:val="22"/>
                <w:szCs w:val="22"/>
                <w:color w:val="5A5A5A"/>
              </w:rPr>
              <w:t>Ramírez Lugo JS, Torres-Ramos CA. Rebuilding Caribbean science. Science. 2017 Oct 13; 358(6360):151.</w:t>
            </w:r>
          </w:p>
        </w:tc>
        <w:tc>
          <w:tcPr>
            <w:tcW w:w="2310" w:type="auto"/>
            <w:tcMar>
              <w:top w:type="dxa" w:w="75"/>
              <w:bottom w:type="dxa" w:w="75"/>
            </w:tcMar>
          </w:tcPr>
          <w:p>
            <w:pPr/>
            <w:hyperlink r:id="R46e8fb1bf6d84368" w:history="1">
              <w:r>
                <w:rPr>
                  <w:rStyle w:val="Hyperlink"/>
                </w:rPr>
                <w:t>PubMed</w:t>
              </w:r>
            </w:hyperlink>
          </w:p>
          <w:p>
            <w:pPr/>
          </w:p>
        </w:tc>
      </w:tr>
      <w:tr>
        <w:tc>
          <w:tcPr>
            <w:tcW w:w="2310" w:type="auto"/>
            <w:tcMar>
              <w:top w:type="dxa" w:w="75"/>
              <w:bottom w:type="dxa" w:w="75"/>
            </w:tcMar>
          </w:tcPr>
          <w:p>
            <w:pPr/>
            <w:r>
              <w:rPr>
                <w:lang w:val="en-US"/>
                <w:b/>
                <w:sz w:val="24"/>
                <w:szCs w:val="24"/>
                <w:color w:val="505050"/>
              </w:rPr>
              <w:t>3.</w:t>
            </w:r>
          </w:p>
        </w:tc>
        <w:tc>
          <w:tcPr>
            <w:tcW w:w="2310" w:type="auto"/>
            <w:tcMar>
              <w:top w:type="dxa" w:w="75"/>
              <w:bottom w:type="dxa" w:w="75"/>
            </w:tcMar>
          </w:tcPr>
          <w:p>
            <w:pPr>
              <w:jc w:val="both"/>
            </w:pPr>
            <w:r>
              <w:rPr>
                <w:lang w:val="en-US"/>
                <w:i/>
                <w:sz w:val="22"/>
                <w:szCs w:val="22"/>
                <w:color w:val="5A5A5A"/>
              </w:rPr>
              <w:t>Ballista-Hernández J, Martínez-Ferrer M, Vélez R, Climent C, Sánchez-Vázquez MM, Torres C, Rodríguez-Muñoz A, Ayala-Peña S, Torres-Ramos CA. Mitochondrial DNA Integrity Is Maintained by APE1 in Carcinogen-Induced Colorectal Cancer. Mol Cancer Res. 2017 07; 15(7):831-841.</w:t>
            </w:r>
          </w:p>
        </w:tc>
        <w:tc>
          <w:tcPr>
            <w:tcW w:w="2310" w:type="auto"/>
            <w:tcMar>
              <w:top w:type="dxa" w:w="75"/>
              <w:bottom w:type="dxa" w:w="75"/>
            </w:tcMar>
          </w:tcPr>
          <w:p>
            <w:pPr/>
            <w:hyperlink r:id="Rdc0e1fbae8c6437d" w:history="1">
              <w:r>
                <w:rPr>
                  <w:rStyle w:val="Hyperlink"/>
                </w:rPr>
                <w:t>PubMed</w:t>
              </w:r>
            </w:hyperlink>
          </w:p>
          <w:p>
            <w:pPr/>
          </w:p>
        </w:tc>
      </w:tr>
      <w:tr>
        <w:tc>
          <w:tcPr>
            <w:tcW w:w="2310" w:type="auto"/>
            <w:tcMar>
              <w:top w:type="dxa" w:w="75"/>
              <w:bottom w:type="dxa" w:w="75"/>
            </w:tcMar>
          </w:tcPr>
          <w:p>
            <w:pPr/>
            <w:r>
              <w:rPr>
                <w:lang w:val="en-US"/>
                <w:b/>
                <w:sz w:val="24"/>
                <w:szCs w:val="24"/>
                <w:color w:val="505050"/>
              </w:rPr>
              <w:t>4.</w:t>
            </w:r>
          </w:p>
        </w:tc>
        <w:tc>
          <w:tcPr>
            <w:tcW w:w="2310" w:type="auto"/>
            <w:tcMar>
              <w:top w:type="dxa" w:w="75"/>
              <w:bottom w:type="dxa" w:w="75"/>
            </w:tcMar>
          </w:tcPr>
          <w:p>
            <w:pPr>
              <w:jc w:val="both"/>
            </w:pPr>
            <w:r>
              <w:rPr>
                <w:lang w:val="en-US"/>
                <w:i/>
                <w:sz w:val="22"/>
                <w:szCs w:val="22"/>
                <w:color w:val="5A5A5A"/>
              </w:rPr>
              <w:t>Barreto-Torres G, Hernandez JS, Jang S, Rodríguez-Muñoz AR, Torres-Ramos CA, Basnakian AG, Javadov S. The beneficial effects of AMP kinase activation against oxidative stress are associated with prevention of PPARa-cyclophilin D interaction in cardiomyocytes. Am J Physiol Heart Circ Physiol. 2015 Apr 01; 308(7):H749-58.</w:t>
            </w:r>
          </w:p>
        </w:tc>
        <w:tc>
          <w:tcPr>
            <w:tcW w:w="2310" w:type="auto"/>
            <w:tcMar>
              <w:top w:type="dxa" w:w="75"/>
              <w:bottom w:type="dxa" w:w="75"/>
            </w:tcMar>
          </w:tcPr>
          <w:p>
            <w:pPr/>
            <w:hyperlink r:id="Re222171470c24626" w:history="1">
              <w:r>
                <w:rPr>
                  <w:rStyle w:val="Hyperlink"/>
                </w:rPr>
                <w:t>PubMed</w:t>
              </w:r>
            </w:hyperlink>
          </w:p>
          <w:p>
            <w:pPr/>
          </w:p>
        </w:tc>
      </w:tr>
      <w:tr>
        <w:tc>
          <w:tcPr>
            <w:tcW w:w="2310" w:type="auto"/>
            <w:tcMar>
              <w:top w:type="dxa" w:w="75"/>
              <w:bottom w:type="dxa" w:w="75"/>
            </w:tcMar>
          </w:tcPr>
          <w:p>
            <w:pPr/>
            <w:r>
              <w:rPr>
                <w:lang w:val="en-US"/>
                <w:b/>
                <w:sz w:val="24"/>
                <w:szCs w:val="24"/>
                <w:color w:val="505050"/>
              </w:rPr>
              <w:t>5.</w:t>
            </w:r>
          </w:p>
        </w:tc>
        <w:tc>
          <w:tcPr>
            <w:tcW w:w="2310" w:type="auto"/>
            <w:tcMar>
              <w:top w:type="dxa" w:w="75"/>
              <w:bottom w:type="dxa" w:w="75"/>
            </w:tcMar>
          </w:tcPr>
          <w:p>
            <w:pPr>
              <w:jc w:val="both"/>
            </w:pPr>
            <w:r>
              <w:rPr>
                <w:lang w:val="en-US"/>
                <w:i/>
                <w:sz w:val="22"/>
                <w:szCs w:val="22"/>
                <w:color w:val="5A5A5A"/>
              </w:rPr>
              <w:t>Jansen RJ, Fonseca-Williams S, Bamlet WR, Ayala-Peña S, Oberg AL, Petersen GM, Torres-Ramos CA. Detection of DNA damage in peripheral blood mononuclear cells from pancreatic cancer patients. Mol Carcinog. 2015 Oct; 54(10):1220-6.</w:t>
            </w:r>
          </w:p>
        </w:tc>
        <w:tc>
          <w:tcPr>
            <w:tcW w:w="2310" w:type="auto"/>
            <w:tcMar>
              <w:top w:type="dxa" w:w="75"/>
              <w:bottom w:type="dxa" w:w="75"/>
            </w:tcMar>
          </w:tcPr>
          <w:p>
            <w:pPr/>
            <w:hyperlink r:id="Rafb21f556cc44fe5" w:history="1">
              <w:r>
                <w:rPr>
                  <w:rStyle w:val="Hyperlink"/>
                </w:rPr>
                <w:t>PubMed</w:t>
              </w:r>
            </w:hyperlink>
          </w:p>
          <w:p>
            <w:pPr/>
          </w:p>
        </w:tc>
      </w:tr>
      <w:tr>
        <w:tc>
          <w:tcPr>
            <w:tcW w:w="2310" w:type="auto"/>
            <w:tcMar>
              <w:top w:type="dxa" w:w="75"/>
              <w:bottom w:type="dxa" w:w="75"/>
            </w:tcMar>
          </w:tcPr>
          <w:p>
            <w:pPr/>
            <w:r>
              <w:rPr>
                <w:lang w:val="en-US"/>
                <w:b/>
                <w:sz w:val="24"/>
                <w:szCs w:val="24"/>
                <w:color w:val="505050"/>
              </w:rPr>
              <w:t>6.</w:t>
            </w:r>
          </w:p>
        </w:tc>
        <w:tc>
          <w:tcPr>
            <w:tcW w:w="2310" w:type="auto"/>
            <w:tcMar>
              <w:top w:type="dxa" w:w="75"/>
              <w:bottom w:type="dxa" w:w="75"/>
            </w:tcMar>
          </w:tcPr>
          <w:p>
            <w:pPr>
              <w:jc w:val="both"/>
            </w:pPr>
            <w:r>
              <w:rPr>
                <w:lang w:val="en-US"/>
                <w:i/>
                <w:sz w:val="22"/>
                <w:szCs w:val="22"/>
                <w:color w:val="5A5A5A"/>
              </w:rPr>
              <w:t>López-López L, Nieves-Plaza M, Castro Mdel R, Font YM, Torres-Ramos CA, Vilá LM, Ayala-Peña S. Mitochondrial DNA damage is associated with damage accrual and disease duration in patients with systemic lupus erythematosus. Lupus. 2014 Oct; 23(11):1133-41.</w:t>
            </w:r>
          </w:p>
        </w:tc>
        <w:tc>
          <w:tcPr>
            <w:tcW w:w="2310" w:type="auto"/>
            <w:tcMar>
              <w:top w:type="dxa" w:w="75"/>
              <w:bottom w:type="dxa" w:w="75"/>
            </w:tcMar>
          </w:tcPr>
          <w:p>
            <w:pPr/>
            <w:hyperlink r:id="R7f72a96ccc13453b" w:history="1">
              <w:r>
                <w:rPr>
                  <w:rStyle w:val="Hyperlink"/>
                </w:rPr>
                <w:t>PubMed</w:t>
              </w:r>
            </w:hyperlink>
          </w:p>
          <w:p>
            <w:pPr/>
          </w:p>
        </w:tc>
      </w:tr>
      <w:tr>
        <w:tc>
          <w:tcPr>
            <w:tcW w:w="2310" w:type="auto"/>
            <w:tcMar>
              <w:top w:type="dxa" w:w="75"/>
              <w:bottom w:type="dxa" w:w="75"/>
            </w:tcMar>
          </w:tcPr>
          <w:p>
            <w:pPr/>
            <w:r>
              <w:rPr>
                <w:lang w:val="en-US"/>
                <w:b/>
                <w:sz w:val="24"/>
                <w:szCs w:val="24"/>
                <w:color w:val="505050"/>
              </w:rPr>
              <w:t>7.</w:t>
            </w:r>
          </w:p>
        </w:tc>
        <w:tc>
          <w:tcPr>
            <w:tcW w:w="2310" w:type="auto"/>
            <w:tcMar>
              <w:top w:type="dxa" w:w="75"/>
              <w:bottom w:type="dxa" w:w="75"/>
            </w:tcMar>
          </w:tcPr>
          <w:p>
            <w:pPr>
              <w:jc w:val="both"/>
            </w:pPr>
            <w:r>
              <w:rPr>
                <w:lang w:val="en-US"/>
                <w:i/>
                <w:sz w:val="22"/>
                <w:szCs w:val="22"/>
                <w:color w:val="5A5A5A"/>
              </w:rPr>
              <w:t>Siddiqui A, Rivera-Sánchez S, Castro Mdel R, Acevedo-Torres K, Rane A, Torres-Ramos CA, Nicholls DG, Andersen JK, Ayala-Torres S. Mitochondrial DNA damage is associated with reduced mitochondrial bioenergetics in Huntington''s disease. Free Radic Biol Med. 2012 Oct 01; 53(7):1478-88.</w:t>
            </w:r>
          </w:p>
        </w:tc>
        <w:tc>
          <w:tcPr>
            <w:tcW w:w="2310" w:type="auto"/>
            <w:tcMar>
              <w:top w:type="dxa" w:w="75"/>
              <w:bottom w:type="dxa" w:w="75"/>
            </w:tcMar>
          </w:tcPr>
          <w:p>
            <w:pPr/>
            <w:hyperlink r:id="R87670c2156cb479a" w:history="1">
              <w:r>
                <w:rPr>
                  <w:rStyle w:val="Hyperlink"/>
                </w:rPr>
                <w:t>PubMed</w:t>
              </w:r>
            </w:hyperlink>
          </w:p>
          <w:p>
            <w:pPr/>
          </w:p>
        </w:tc>
      </w:tr>
      <w:tr>
        <w:tc>
          <w:tcPr>
            <w:tcW w:w="2310" w:type="auto"/>
            <w:tcMar>
              <w:top w:type="dxa" w:w="75"/>
              <w:bottom w:type="dxa" w:w="75"/>
            </w:tcMar>
          </w:tcPr>
          <w:p>
            <w:pPr/>
            <w:r>
              <w:rPr>
                <w:lang w:val="en-US"/>
                <w:b/>
                <w:sz w:val="24"/>
                <w:szCs w:val="24"/>
                <w:color w:val="505050"/>
              </w:rPr>
              <w:t>8.</w:t>
            </w:r>
          </w:p>
        </w:tc>
        <w:tc>
          <w:tcPr>
            <w:tcW w:w="2310" w:type="auto"/>
            <w:tcMar>
              <w:top w:type="dxa" w:w="75"/>
              <w:bottom w:type="dxa" w:w="75"/>
            </w:tcMar>
          </w:tcPr>
          <w:p>
            <w:pPr>
              <w:jc w:val="both"/>
            </w:pPr>
            <w:r>
              <w:rPr>
                <w:lang w:val="en-US"/>
                <w:i/>
                <w:sz w:val="22"/>
                <w:szCs w:val="22"/>
                <w:color w:val="5A5A5A"/>
              </w:rPr>
              <w:t>Vogel KS, Perez M, Momand JR, Acevedo-Torres K, Hildreth K, Garcia RA, Torres-Ramos CA, Ayala-Torres S, Prihoda TJ, McMahan CA, Walter CA. Age-related instability in spermatogenic cell nuclear and mitochondrial DNA obtained from Apex1 heterozygous mice. Mol Reprod Dev. 2011 Dec; 78(12):906-19.</w:t>
            </w:r>
          </w:p>
        </w:tc>
        <w:tc>
          <w:tcPr>
            <w:tcW w:w="2310" w:type="auto"/>
            <w:tcMar>
              <w:top w:type="dxa" w:w="75"/>
              <w:bottom w:type="dxa" w:w="75"/>
            </w:tcMar>
          </w:tcPr>
          <w:p>
            <w:pPr/>
            <w:hyperlink r:id="Rc4f8e27705b841b3" w:history="1">
              <w:r>
                <w:rPr>
                  <w:rStyle w:val="Hyperlink"/>
                </w:rPr>
                <w:t>PubMed</w:t>
              </w:r>
            </w:hyperlink>
          </w:p>
          <w:p>
            <w:pPr/>
          </w:p>
        </w:tc>
      </w:tr>
      <w:tr>
        <w:tc>
          <w:tcPr>
            <w:tcW w:w="2310" w:type="auto"/>
            <w:tcMar>
              <w:top w:type="dxa" w:w="75"/>
              <w:bottom w:type="dxa" w:w="75"/>
            </w:tcMar>
          </w:tcPr>
          <w:p>
            <w:pPr/>
            <w:r>
              <w:rPr>
                <w:lang w:val="en-US"/>
                <w:b/>
                <w:sz w:val="24"/>
                <w:szCs w:val="24"/>
                <w:color w:val="505050"/>
              </w:rPr>
              <w:t>9.</w:t>
            </w:r>
          </w:p>
        </w:tc>
        <w:tc>
          <w:tcPr>
            <w:tcW w:w="2310" w:type="auto"/>
            <w:tcMar>
              <w:top w:type="dxa" w:w="75"/>
              <w:bottom w:type="dxa" w:w="75"/>
            </w:tcMar>
          </w:tcPr>
          <w:p>
            <w:pPr>
              <w:jc w:val="both"/>
            </w:pPr>
            <w:r>
              <w:rPr>
                <w:lang w:val="en-US"/>
                <w:i/>
                <w:sz w:val="22"/>
                <w:szCs w:val="22"/>
                <w:color w:val="5A5A5A"/>
              </w:rPr>
              <w:t>Acevedo-Torres K, Fonseca-Williams S, Ayala-Torres S, Torres-Ramos CA. Requirement of the Saccharomyces cerevisiae APN1 gene for the repair of mitochondrial DNA alkylation damage. Environ Mol Mutagen. 2009 May; 50(4):317-27.</w:t>
            </w:r>
          </w:p>
        </w:tc>
        <w:tc>
          <w:tcPr>
            <w:tcW w:w="2310" w:type="auto"/>
            <w:tcMar>
              <w:top w:type="dxa" w:w="75"/>
              <w:bottom w:type="dxa" w:w="75"/>
            </w:tcMar>
          </w:tcPr>
          <w:p>
            <w:pPr/>
            <w:hyperlink r:id="Raade6f24bd5e44ec" w:history="1">
              <w:r>
                <w:rPr>
                  <w:rStyle w:val="Hyperlink"/>
                </w:rPr>
                <w:t>PubMed</w:t>
              </w:r>
            </w:hyperlink>
          </w:p>
          <w:p>
            <w:pPr/>
          </w:p>
        </w:tc>
      </w:tr>
      <w:tr>
        <w:tc>
          <w:tcPr>
            <w:tcW w:w="2310" w:type="auto"/>
            <w:tcMar>
              <w:top w:type="dxa" w:w="75"/>
              <w:bottom w:type="dxa" w:w="75"/>
            </w:tcMar>
          </w:tcPr>
          <w:p>
            <w:pPr/>
            <w:r>
              <w:rPr>
                <w:lang w:val="en-US"/>
                <w:b/>
                <w:sz w:val="24"/>
                <w:szCs w:val="24"/>
                <w:color w:val="505050"/>
              </w:rPr>
              <w:t>10.</w:t>
            </w:r>
          </w:p>
        </w:tc>
        <w:tc>
          <w:tcPr>
            <w:tcW w:w="2310" w:type="auto"/>
            <w:tcMar>
              <w:top w:type="dxa" w:w="75"/>
              <w:bottom w:type="dxa" w:w="75"/>
            </w:tcMar>
          </w:tcPr>
          <w:p>
            <w:pPr>
              <w:jc w:val="both"/>
            </w:pPr>
            <w:r>
              <w:rPr>
                <w:lang w:val="en-US"/>
                <w:i/>
                <w:sz w:val="22"/>
                <w:szCs w:val="22"/>
                <w:color w:val="5A5A5A"/>
              </w:rPr>
              <w:t>Acevedo-Torres K, Berríos L, Rosario N, Dufault V, Skatchkov S, Eaton MJ, Torres-Ramos CA, Ayala-Torres S. Mitochondrial DNA damage is a hallmark of chemically induced and the R6/2 transgenic model of Huntington''s disease. DNA Repair (Amst). 2009 Jan 01; 8(1):126-36.</w:t>
            </w:r>
          </w:p>
        </w:tc>
        <w:tc>
          <w:tcPr>
            <w:tcW w:w="2310" w:type="auto"/>
            <w:tcMar>
              <w:top w:type="dxa" w:w="75"/>
              <w:bottom w:type="dxa" w:w="75"/>
            </w:tcMar>
          </w:tcPr>
          <w:p>
            <w:pPr/>
            <w:hyperlink r:id="Rd9c2344776564118" w:history="1">
              <w:r>
                <w:rPr>
                  <w:rStyle w:val="Hyperlink"/>
                </w:rPr>
                <w:t>PubMed</w:t>
              </w:r>
            </w:hyperlink>
          </w:p>
          <w:p>
            <w:pPr/>
          </w:p>
        </w:tc>
      </w:tr>
      <w:tr>
        <w:tc>
          <w:tcPr>
            <w:tcW w:w="2310" w:type="auto"/>
            <w:tcMar>
              <w:top w:type="dxa" w:w="75"/>
              <w:bottom w:type="dxa" w:w="75"/>
            </w:tcMar>
          </w:tcPr>
          <w:p>
            <w:pPr/>
            <w:r>
              <w:rPr>
                <w:lang w:val="en-US"/>
                <w:b/>
                <w:sz w:val="24"/>
                <w:szCs w:val="24"/>
                <w:color w:val="505050"/>
              </w:rPr>
              <w:t>11.</w:t>
            </w:r>
          </w:p>
        </w:tc>
        <w:tc>
          <w:tcPr>
            <w:tcW w:w="2310" w:type="auto"/>
            <w:tcMar>
              <w:top w:type="dxa" w:w="75"/>
              <w:bottom w:type="dxa" w:w="75"/>
            </w:tcMar>
          </w:tcPr>
          <w:p>
            <w:pPr>
              <w:jc w:val="both"/>
            </w:pPr>
            <w:r>
              <w:rPr>
                <w:lang w:val="en-US"/>
                <w:i/>
                <w:sz w:val="22"/>
                <w:szCs w:val="22"/>
                <w:color w:val="5A5A5A"/>
              </w:rPr>
              <w:t>Guzder SN, Torres-Ramos C, Johnson RE, Haracska L, Prakash L, Prakash S. Requirement of yeast Rad1-Rad10 nuclease for the removal of 3''-blocked termini from DNA strand breaks induced by reactive oxygen species. Genes Dev. 2004 Sep 15; 18(18):2283-91.</w:t>
            </w:r>
          </w:p>
        </w:tc>
        <w:tc>
          <w:tcPr>
            <w:tcW w:w="2310" w:type="auto"/>
            <w:tcMar>
              <w:top w:type="dxa" w:w="75"/>
              <w:bottom w:type="dxa" w:w="75"/>
            </w:tcMar>
          </w:tcPr>
          <w:p>
            <w:pPr/>
            <w:hyperlink r:id="R0f9387d8fde245dd" w:history="1">
              <w:r>
                <w:rPr>
                  <w:rStyle w:val="Hyperlink"/>
                </w:rPr>
                <w:t>PubMed</w:t>
              </w:r>
            </w:hyperlink>
          </w:p>
          <w:p>
            <w:pPr/>
          </w:p>
        </w:tc>
      </w:tr>
      <w:tr>
        <w:tc>
          <w:tcPr>
            <w:tcW w:w="2310" w:type="auto"/>
            <w:tcMar>
              <w:top w:type="dxa" w:w="75"/>
              <w:bottom w:type="dxa" w:w="75"/>
            </w:tcMar>
          </w:tcPr>
          <w:p>
            <w:pPr/>
            <w:r>
              <w:rPr>
                <w:lang w:val="en-US"/>
                <w:b/>
                <w:sz w:val="24"/>
                <w:szCs w:val="24"/>
                <w:color w:val="505050"/>
              </w:rPr>
              <w:t>12.</w:t>
            </w:r>
          </w:p>
        </w:tc>
        <w:tc>
          <w:tcPr>
            <w:tcW w:w="2310" w:type="auto"/>
            <w:tcMar>
              <w:top w:type="dxa" w:w="75"/>
              <w:bottom w:type="dxa" w:w="75"/>
            </w:tcMar>
          </w:tcPr>
          <w:p>
            <w:pPr>
              <w:jc w:val="both"/>
            </w:pPr>
            <w:r>
              <w:rPr>
                <w:lang w:val="en-US"/>
                <w:i/>
                <w:sz w:val="22"/>
                <w:szCs w:val="22"/>
                <w:color w:val="5A5A5A"/>
              </w:rPr>
              <w:t>Haracska L, Torres-Ramos CA, Johnson RE, Prakash S, Prakash L. Opposing effects of ubiquitin conjugation and SUMO modification of PCNA on replicational bypass of DNA lesions in Saccharomyces cerevisiae. Mol Cell Biol. 2004 May; 24(10):4267-74.</w:t>
            </w:r>
          </w:p>
        </w:tc>
        <w:tc>
          <w:tcPr>
            <w:tcW w:w="2310" w:type="auto"/>
            <w:tcMar>
              <w:top w:type="dxa" w:w="75"/>
              <w:bottom w:type="dxa" w:w="75"/>
            </w:tcMar>
          </w:tcPr>
          <w:p>
            <w:pPr/>
            <w:hyperlink r:id="R9f3f19aa4a0a4c07" w:history="1">
              <w:r>
                <w:rPr>
                  <w:rStyle w:val="Hyperlink"/>
                </w:rPr>
                <w:t>PubMed</w:t>
              </w:r>
            </w:hyperlink>
          </w:p>
          <w:p>
            <w:pPr/>
          </w:p>
        </w:tc>
      </w:tr>
      <w:tr>
        <w:tc>
          <w:tcPr>
            <w:tcW w:w="2310" w:type="auto"/>
            <w:tcMar>
              <w:top w:type="dxa" w:w="75"/>
              <w:bottom w:type="dxa" w:w="75"/>
            </w:tcMar>
          </w:tcPr>
          <w:p>
            <w:pPr/>
            <w:r>
              <w:rPr>
                <w:lang w:val="en-US"/>
                <w:b/>
                <w:sz w:val="24"/>
                <w:szCs w:val="24"/>
                <w:color w:val="505050"/>
              </w:rPr>
              <w:t>13.</w:t>
            </w:r>
          </w:p>
        </w:tc>
        <w:tc>
          <w:tcPr>
            <w:tcW w:w="2310" w:type="auto"/>
            <w:tcMar>
              <w:top w:type="dxa" w:w="75"/>
              <w:bottom w:type="dxa" w:w="75"/>
            </w:tcMar>
          </w:tcPr>
          <w:p>
            <w:pPr>
              <w:jc w:val="both"/>
            </w:pPr>
            <w:r>
              <w:rPr>
                <w:lang w:val="en-US"/>
                <w:i/>
                <w:sz w:val="22"/>
                <w:szCs w:val="22"/>
                <w:color w:val="5A5A5A"/>
              </w:rPr>
              <w:t>Torres-Ramos CA, Prakash S, Prakash L. Requirement of RAD5 and MMS2 for postreplication repair of UV-damaged DNA in Saccharomyces cerevisiae. Mol Cell Biol. 2002 Apr; 22(7):2419-26.</w:t>
            </w:r>
          </w:p>
        </w:tc>
        <w:tc>
          <w:tcPr>
            <w:tcW w:w="2310" w:type="auto"/>
            <w:tcMar>
              <w:top w:type="dxa" w:w="75"/>
              <w:bottom w:type="dxa" w:w="75"/>
            </w:tcMar>
          </w:tcPr>
          <w:p>
            <w:pPr/>
            <w:hyperlink r:id="Ra8a5ba84b8b04a8c" w:history="1">
              <w:r>
                <w:rPr>
                  <w:rStyle w:val="Hyperlink"/>
                </w:rPr>
                <w:t>PubMed</w:t>
              </w:r>
            </w:hyperlink>
          </w:p>
          <w:p>
            <w:pPr/>
          </w:p>
        </w:tc>
      </w:tr>
      <w:tr>
        <w:tc>
          <w:tcPr>
            <w:tcW w:w="2310" w:type="auto"/>
            <w:tcMar>
              <w:top w:type="dxa" w:w="75"/>
              <w:bottom w:type="dxa" w:w="75"/>
            </w:tcMar>
          </w:tcPr>
          <w:p>
            <w:pPr/>
            <w:r>
              <w:rPr>
                <w:lang w:val="en-US"/>
                <w:b/>
                <w:sz w:val="24"/>
                <w:szCs w:val="24"/>
                <w:color w:val="505050"/>
              </w:rPr>
              <w:t>14.</w:t>
            </w:r>
          </w:p>
        </w:tc>
        <w:tc>
          <w:tcPr>
            <w:tcW w:w="2310" w:type="auto"/>
            <w:tcMar>
              <w:top w:type="dxa" w:w="75"/>
              <w:bottom w:type="dxa" w:w="75"/>
            </w:tcMar>
          </w:tcPr>
          <w:p>
            <w:pPr>
              <w:jc w:val="both"/>
            </w:pPr>
            <w:r>
              <w:rPr>
                <w:lang w:val="en-US"/>
                <w:i/>
                <w:sz w:val="22"/>
                <w:szCs w:val="22"/>
                <w:color w:val="5A5A5A"/>
              </w:rPr>
              <w:t>Torres-Ramos CA, Johnson RE, Prakash L, Prakash S. Evidence for the involvement of nucleotide excision repair in the removal of abasic sites in yeast. Mol Cell Biol. 2000 May; 20(10):3522-8.</w:t>
            </w:r>
          </w:p>
        </w:tc>
        <w:tc>
          <w:tcPr>
            <w:tcW w:w="2310" w:type="auto"/>
            <w:tcMar>
              <w:top w:type="dxa" w:w="75"/>
              <w:bottom w:type="dxa" w:w="75"/>
            </w:tcMar>
          </w:tcPr>
          <w:p>
            <w:pPr/>
            <w:hyperlink r:id="Rb6726807200e42c6" w:history="1">
              <w:r>
                <w:rPr>
                  <w:rStyle w:val="Hyperlink"/>
                </w:rPr>
                <w:t>PubMed</w:t>
              </w:r>
            </w:hyperlink>
          </w:p>
          <w:p>
            <w:pPr/>
          </w:p>
        </w:tc>
      </w:tr>
      <w:tr>
        <w:tc>
          <w:tcPr>
            <w:tcW w:w="2310" w:type="auto"/>
            <w:tcMar>
              <w:top w:type="dxa" w:w="75"/>
              <w:bottom w:type="dxa" w:w="75"/>
            </w:tcMar>
          </w:tcPr>
          <w:p>
            <w:pPr/>
            <w:r>
              <w:rPr>
                <w:lang w:val="en-US"/>
                <w:b/>
                <w:sz w:val="24"/>
                <w:szCs w:val="24"/>
                <w:color w:val="505050"/>
              </w:rPr>
              <w:t>15.</w:t>
            </w:r>
          </w:p>
        </w:tc>
        <w:tc>
          <w:tcPr>
            <w:tcW w:w="2310" w:type="auto"/>
            <w:tcMar>
              <w:top w:type="dxa" w:w="75"/>
              <w:bottom w:type="dxa" w:w="75"/>
            </w:tcMar>
          </w:tcPr>
          <w:p>
            <w:pPr>
              <w:jc w:val="both"/>
            </w:pPr>
            <w:r>
              <w:rPr>
                <w:lang w:val="en-US"/>
                <w:i/>
                <w:sz w:val="22"/>
                <w:szCs w:val="22"/>
                <w:color w:val="5A5A5A"/>
              </w:rPr>
              <w:t>Johnson RE, Torres-Ramos CA, Izumi T, Mitra S, Prakash S, Prakash L. Identification of APN2, the Saccharomyces cerevisiae homolog of the major human AP endonuclease HAP1, and its role in the repair of abasic sites. Genes Dev. 1998 Oct 01; 12(19):3137-43.</w:t>
            </w:r>
          </w:p>
        </w:tc>
        <w:tc>
          <w:tcPr>
            <w:tcW w:w="2310" w:type="auto"/>
            <w:tcMar>
              <w:top w:type="dxa" w:w="75"/>
              <w:bottom w:type="dxa" w:w="75"/>
            </w:tcMar>
          </w:tcPr>
          <w:p>
            <w:pPr/>
            <w:hyperlink r:id="Rba38a50d2dd54245" w:history="1">
              <w:r>
                <w:rPr>
                  <w:rStyle w:val="Hyperlink"/>
                </w:rPr>
                <w:t>PubMed</w:t>
              </w:r>
            </w:hyperlink>
          </w:p>
          <w:p>
            <w:pPr/>
          </w:p>
        </w:tc>
      </w:tr>
      <w:tr>
        <w:tc>
          <w:tcPr>
            <w:tcW w:w="2310" w:type="auto"/>
            <w:tcMar>
              <w:top w:type="dxa" w:w="75"/>
              <w:bottom w:type="dxa" w:w="75"/>
            </w:tcMar>
          </w:tcPr>
          <w:p>
            <w:pPr/>
            <w:r>
              <w:rPr>
                <w:lang w:val="en-US"/>
                <w:b/>
                <w:sz w:val="24"/>
                <w:szCs w:val="24"/>
                <w:color w:val="505050"/>
              </w:rPr>
              <w:t>16.</w:t>
            </w:r>
          </w:p>
        </w:tc>
        <w:tc>
          <w:tcPr>
            <w:tcW w:w="2310" w:type="auto"/>
            <w:tcMar>
              <w:top w:type="dxa" w:w="75"/>
              <w:bottom w:type="dxa" w:w="75"/>
            </w:tcMar>
          </w:tcPr>
          <w:p>
            <w:pPr>
              <w:jc w:val="both"/>
            </w:pPr>
            <w:r>
              <w:rPr>
                <w:lang w:val="en-US"/>
                <w:i/>
                <w:sz w:val="22"/>
                <w:szCs w:val="22"/>
                <w:color w:val="5A5A5A"/>
              </w:rPr>
              <w:t>Torres-Ramos CA, Prakash S, Prakash L. Requirement of yeast DNA polymerase delta in post-replicational repair of UV-damaged DNA. J Biol Chem. 1997 Oct 10; 272(41):25445-8.</w:t>
            </w:r>
          </w:p>
        </w:tc>
        <w:tc>
          <w:tcPr>
            <w:tcW w:w="2310" w:type="auto"/>
            <w:tcMar>
              <w:top w:type="dxa" w:w="75"/>
              <w:bottom w:type="dxa" w:w="75"/>
            </w:tcMar>
          </w:tcPr>
          <w:p>
            <w:pPr/>
            <w:hyperlink r:id="R97900aa615d64c8a" w:history="1">
              <w:r>
                <w:rPr>
                  <w:rStyle w:val="Hyperlink"/>
                </w:rPr>
                <w:t>PubMed</w:t>
              </w:r>
            </w:hyperlink>
          </w:p>
          <w:p>
            <w:pPr/>
          </w:p>
        </w:tc>
      </w:tr>
      <w:tr>
        <w:tc>
          <w:tcPr>
            <w:tcW w:w="2310" w:type="auto"/>
            <w:tcMar>
              <w:top w:type="dxa" w:w="75"/>
              <w:bottom w:type="dxa" w:w="75"/>
            </w:tcMar>
          </w:tcPr>
          <w:p>
            <w:pPr/>
            <w:r>
              <w:rPr>
                <w:lang w:val="en-US"/>
                <w:b/>
                <w:sz w:val="24"/>
                <w:szCs w:val="24"/>
                <w:color w:val="505050"/>
              </w:rPr>
              <w:t>17.</w:t>
            </w:r>
          </w:p>
        </w:tc>
        <w:tc>
          <w:tcPr>
            <w:tcW w:w="2310" w:type="auto"/>
            <w:tcMar>
              <w:top w:type="dxa" w:w="75"/>
              <w:bottom w:type="dxa" w:w="75"/>
            </w:tcMar>
          </w:tcPr>
          <w:p>
            <w:pPr>
              <w:jc w:val="both"/>
            </w:pPr>
            <w:r>
              <w:rPr>
                <w:lang w:val="en-US"/>
                <w:i/>
                <w:sz w:val="22"/>
                <w:szCs w:val="22"/>
                <w:color w:val="5A5A5A"/>
              </w:rPr>
              <w:t>Torres-Ramos CA, Yoder BL, Burgers PM, Prakash S, Prakash L. Requirement of proliferating cell nuclear antigen in RAD6-dependent postreplicational DNA repair. Proc Natl Acad Sci U S A. 1996 Sep 03; 93(18):9676-81.</w:t>
            </w:r>
          </w:p>
        </w:tc>
        <w:tc>
          <w:tcPr>
            <w:tcW w:w="2310" w:type="auto"/>
            <w:tcMar>
              <w:top w:type="dxa" w:w="75"/>
              <w:bottom w:type="dxa" w:w="75"/>
            </w:tcMar>
          </w:tcPr>
          <w:p>
            <w:pPr/>
            <w:hyperlink r:id="R07a189a138034c17" w:history="1">
              <w:r>
                <w:rPr>
                  <w:rStyle w:val="Hyperlink"/>
                </w:rPr>
                <w:t>PubMed</w:t>
              </w:r>
            </w:hyperlink>
          </w:p>
          <w:p>
            <w:pPr/>
          </w:p>
        </w:tc>
      </w:tr>
      <w:tr>
        <w:tc>
          <w:tcPr>
            <w:tcW w:w="2310" w:type="auto"/>
            <w:tcMar>
              <w:top w:type="dxa" w:w="75"/>
              <w:bottom w:type="dxa" w:w="75"/>
            </w:tcMar>
          </w:tcPr>
          <w:p>
            <w:pPr/>
            <w:r>
              <w:rPr>
                <w:lang w:val="en-US"/>
                <w:b/>
                <w:sz w:val="24"/>
                <w:szCs w:val="24"/>
                <w:color w:val="505050"/>
              </w:rPr>
              <w:t>18.</w:t>
            </w:r>
          </w:p>
        </w:tc>
        <w:tc>
          <w:tcPr>
            <w:tcW w:w="2310" w:type="auto"/>
            <w:tcMar>
              <w:top w:type="dxa" w:w="75"/>
              <w:bottom w:type="dxa" w:w="75"/>
            </w:tcMar>
          </w:tcPr>
          <w:p>
            <w:pPr>
              <w:jc w:val="both"/>
            </w:pPr>
            <w:r>
              <w:rPr>
                <w:lang w:val="en-US"/>
                <w:i/>
                <w:sz w:val="22"/>
                <w:szCs w:val="22"/>
                <w:color w:val="5A5A5A"/>
              </w:rPr>
              <w:t>Grompe M, Lindstedt S, al-Dhalimy M, Kennaway NG, Papaconstantinou J, Torres-Ramos CA, Ou CN, Finegold M. Pharmacological correction of neonatal lethal hepatic dysfunction in a murine model of hereditary tyrosinaemia type I. Nat Genet. 1995 Aug; 10(4):453-60.</w:t>
            </w:r>
          </w:p>
        </w:tc>
        <w:tc>
          <w:tcPr>
            <w:tcW w:w="2310" w:type="auto"/>
            <w:tcMar>
              <w:top w:type="dxa" w:w="75"/>
              <w:bottom w:type="dxa" w:w="75"/>
            </w:tcMar>
          </w:tcPr>
          <w:p>
            <w:pPr/>
            <w:hyperlink r:id="R2f1d9f5028104cde" w:history="1">
              <w:r>
                <w:rPr>
                  <w:rStyle w:val="Hyperlink"/>
                </w:rPr>
                <w:t>PubMed</w:t>
              </w:r>
            </w:hyperlink>
          </w:p>
          <w:p>
            <w:pPr/>
          </w:p>
        </w:tc>
      </w:tr>
      <w:tr>
        <w:tc>
          <w:tcPr>
            <w:tcW w:w="2310" w:type="auto"/>
            <w:tcMar>
              <w:top w:type="dxa" w:w="75"/>
              <w:bottom w:type="dxa" w:w="75"/>
            </w:tcMar>
          </w:tcPr>
          <w:p>
            <w:pPr/>
            <w:r>
              <w:rPr>
                <w:lang w:val="en-US"/>
                <w:b/>
                <w:sz w:val="24"/>
                <w:szCs w:val="24"/>
                <w:color w:val="505050"/>
              </w:rPr>
              <w:t>19.</w:t>
            </w:r>
          </w:p>
        </w:tc>
        <w:tc>
          <w:tcPr>
            <w:tcW w:w="2310" w:type="auto"/>
            <w:tcMar>
              <w:top w:type="dxa" w:w="75"/>
              <w:bottom w:type="dxa" w:w="75"/>
            </w:tcMar>
          </w:tcPr>
          <w:p>
            <w:pPr>
              <w:jc w:val="both"/>
            </w:pPr>
            <w:r>
              <w:rPr>
                <w:lang w:val="en-US"/>
                <w:i/>
                <w:sz w:val="22"/>
                <w:szCs w:val="22"/>
                <w:color w:val="5A5A5A"/>
              </w:rPr>
              <w:t>Rabek JP, Zhang DE, Torres-Ramos CA, Papaconstantinou J. Analysis of the mechanism of glucocorticoid-mediated down regulation of the mouse alpha-fetoprotein gene. Biochim Biophys Acta. 1994 Jun 21; 1218(2):136-44.</w:t>
            </w:r>
          </w:p>
        </w:tc>
        <w:tc>
          <w:tcPr>
            <w:tcW w:w="2310" w:type="auto"/>
            <w:tcMar>
              <w:top w:type="dxa" w:w="75"/>
              <w:bottom w:type="dxa" w:w="75"/>
            </w:tcMar>
          </w:tcPr>
          <w:p>
            <w:pPr/>
            <w:hyperlink r:id="R81c4293076544662" w:history="1">
              <w:r>
                <w:rPr>
                  <w:rStyle w:val="Hyperlink"/>
                </w:rPr>
                <w:t>PubMed</w:t>
              </w:r>
            </w:hyperlink>
          </w:p>
          <w:p>
            <w:pPr/>
          </w:p>
        </w:tc>
      </w:tr>
      <w:tr>
        <w:tc>
          <w:tcPr>
            <w:tcW w:w="2310" w:type="auto"/>
            <w:tcMar>
              <w:top w:type="dxa" w:w="75"/>
              <w:bottom w:type="dxa" w:w="75"/>
            </w:tcMar>
          </w:tcPr>
          <w:p>
            <w:pPr/>
            <w:r>
              <w:rPr>
                <w:lang w:val="en-US"/>
                <w:b/>
                <w:sz w:val="24"/>
                <w:szCs w:val="24"/>
                <w:color w:val="505050"/>
              </w:rPr>
              <w:t>20.</w:t>
            </w:r>
          </w:p>
        </w:tc>
        <w:tc>
          <w:tcPr>
            <w:tcW w:w="2310" w:type="auto"/>
            <w:tcMar>
              <w:top w:type="dxa" w:w="75"/>
              <w:bottom w:type="dxa" w:w="75"/>
            </w:tcMar>
          </w:tcPr>
          <w:p>
            <w:pPr>
              <w:jc w:val="both"/>
            </w:pPr>
            <w:r>
              <w:rPr>
                <w:lang w:val="en-US"/>
                <w:i/>
                <w:sz w:val="22"/>
                <w:szCs w:val="22"/>
                <w:color w:val="5A5A5A"/>
              </w:rPr>
              <w:t>Zhang DE, Rabek JP, Hsieh CC, Torres-Ramos C, Papaconstantinou J. Functional analysis of the mouse alpha-fetoprotein enhancers and their subfragments in primary mouse hepatocyte cultures. J Biol Chem. 1992 May 25; 267(15):10676-82.</w:t>
            </w:r>
          </w:p>
        </w:tc>
        <w:tc>
          <w:tcPr>
            <w:tcW w:w="2310" w:type="auto"/>
            <w:tcMar>
              <w:top w:type="dxa" w:w="75"/>
              <w:bottom w:type="dxa" w:w="75"/>
            </w:tcMar>
          </w:tcPr>
          <w:p>
            <w:pPr/>
            <w:hyperlink r:id="R5651e08c4626412b" w:history="1">
              <w:r>
                <w:rPr>
                  <w:rStyle w:val="Hyperlink"/>
                </w:rPr>
                <w:t>PubMed</w:t>
              </w:r>
            </w:hyperlink>
          </w:p>
          <w:p>
            <w:pPr/>
          </w:p>
        </w:tc>
      </w:tr>
    </w:tbl>
    <w:p>
      <w:pPr/>
      <w:r>
        <w:rPr>
          <w:lang w:val="en-US"/>
        </w:rPr>
        <w:br/>
      </w:r>
    </w:p>
    <w:p>
      <w:pPr>
        <w:jc w:val="center"/>
      </w:pPr>
      <w:r>
        <w:rPr>
          <w:lang w:val="en-US"/>
          <w:b/>
          <w:sz w:val="24"/>
          <w:szCs w:val="24"/>
          <w:color w:val="505050"/>
        </w:rPr>
        <w:t>THANK YOU FOR USING THE RTRN RESEARCH COLLABORATION AND PROFESSIONAL NETWORKING SERVICE.</w:t>
      </w:r>
    </w:p>
    <w:p>
      <w:pPr>
        <w:jc w:val="center"/>
      </w:pPr>
      <w:fldSimple w:instr="DOCPROPERTY rtrn_details_line_one \* MERGEFORMAT">
        <w:r>
          <w:t>
            <w:rPr>
              <w:lang w:val="en-US"/>
              <w:i/>
              <w:sz w:val="22"/>
              <w:szCs w:val="22"/>
              <w:color w:val="5A5A5A"/>
            </w:rPr>
            RTRN Data Coordinating Center 
          </w:t>
        </w:r>
      </w:fldSimple>
      <w:r>
        <w:rPr>
          <w:lang w:val="en-US"/>
          <w:b/>
          <w:sz w:val="24"/>
          <w:szCs w:val="24"/>
          <w:color w:val="505050"/>
        </w:rPr>
        <w:br/>
      </w:r>
      <w:fldSimple w:instr="DOCPROPERTY rtrn_details_line_two \* MERGEFORMAT">
        <w:r>
          <w:t>
            <w:rPr>
              <w:lang w:val="en-US"/>
              <w:i/>
              <w:sz w:val="22"/>
              <w:szCs w:val="22"/>
              <w:color w:val="5A5A5A"/>
            </w:rPr>
            Mississippi e-Center @ Jackson State University
          </w:t>
        </w:r>
      </w:fldSimple>
      <w:r>
        <w:rPr>
          <w:lang w:val="en-US"/>
          <w:b/>
          <w:sz w:val="24"/>
          <w:szCs w:val="24"/>
          <w:color w:val="505050"/>
        </w:rPr>
        <w:br/>
      </w:r>
      <w:fldSimple w:instr="DOCPROPERTY rtrn_details_line_three \* MERGEFORMAT">
        <w:r>
          <w:t>
            <w:rPr>
              <w:lang w:val="en-US"/>
              <w:i/>
              <w:sz w:val="22"/>
              <w:szCs w:val="22"/>
              <w:color w:val="5A5A5A"/>
            </w:rPr>
            1230 Raymond Road, Box 1800, Jackson, Mississippi 39204
          </w:t>
        </w:r>
      </w:fldSimple>
      <w:r>
        <w:rPr>
          <w:lang w:val="en-US"/>
          <w:b/>
          <w:sz w:val="24"/>
          <w:szCs w:val="24"/>
          <w:color w:val="505050"/>
        </w:rPr>
        <w:br/>
      </w:r>
      <w:fldSimple w:instr="DOCPROPERTY rtrn_details_line_four \* MERGEFORMAT">
        <w:r>
          <w:t>
            <w:rPr>
              <w:lang w:val="en-US"/>
              <w:i/>
              <w:sz w:val="22"/>
              <w:szCs w:val="22"/>
              <w:color w:val="5A5A5A"/>
            </w:rPr>
            Phone: 601-979-0332, Fax: 601-979-0338, e-mail: support@rtrn.com
          </w:t>
        </w:r>
      </w:fldSimple>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D4736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1">
    <w:name w:val="Light Shading Accent 1"/>
    <w:basedOn w:val="TableNormal"/>
    <w:uiPriority w:val="60"/>
    <w:rsid w:val="008D011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D47365"/>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Hyperlink">
    <w:name w:val="Hyperlink"/>
    <w:basedOn w:val="DefaultParagraphFont"/>
    <w:uiPriority w:val="99"/>
    <w:unhideWhenUsed/>
    <w:rsid w:val="0005416C"/>
    <w:rPr>
      <w:color w:val="0000FF" w:themeColor="hyperlink"/>
      <w:u w:val="single"/>
    </w:rPr>
  </w:style>
</w:styles>
</file>

<file path=word/_rels/document.xml.rels>&#65279;<?xml version="1.0" encoding="utf-8"?><Relationships xmlns="http://schemas.openxmlformats.org/package/2006/relationships"><Relationship Type="http://schemas.openxmlformats.org/officeDocument/2006/relationships/styles" Target="/word/styles.xml" Id="R4a91b161c66d491a" /><Relationship Type="http://schemas.openxmlformats.org/officeDocument/2006/relationships/settings" Target="/word/settings.xml" Id="Rd3d81b39cb3b4047" /><Relationship Type="http://schemas.openxmlformats.org/officeDocument/2006/relationships/image" Target="/word/media/02f25b42-5ec5-4ccc-9e22-2cc00dfa3267.png" Id="Re44ca3e11b18453d" /><Relationship Type="http://schemas.openxmlformats.org/officeDocument/2006/relationships/image" Target="/word/media/f6719956-e259-412f-85c1-a4b28dfd4fe7.jpg" Id="Racf80c9590fe40b3" /><Relationship Type="http://schemas.openxmlformats.org/officeDocument/2006/relationships/image" Target="/word/media/154bfaa1-e954-430d-908f-e6df28764552.jpeg" Id="Rdbb04a034cf3413a" /><Relationship Type="http://schemas.openxmlformats.org/officeDocument/2006/relationships/image" Target="/word/media/f7b4bdd7-5143-4e65-846f-8c3d0b9be524.jpeg" Id="Ra89e1852915a41de" /><Relationship Type="http://schemas.openxmlformats.org/officeDocument/2006/relationships/hyperlink" Target="http://www.ncbi.nlm.nih.gov/pubmed/30800220" TargetMode="External" Id="Rb43591efddd1434c" /><Relationship Type="http://schemas.openxmlformats.org/officeDocument/2006/relationships/hyperlink" Target="http://www.ncbi.nlm.nih.gov/pubmed/29026018" TargetMode="External" Id="R46e8fb1bf6d84368" /><Relationship Type="http://schemas.openxmlformats.org/officeDocument/2006/relationships/hyperlink" Target="http://www.ncbi.nlm.nih.gov/pubmed/28360037" TargetMode="External" Id="Rdc0e1fbae8c6437d" /><Relationship Type="http://schemas.openxmlformats.org/officeDocument/2006/relationships/hyperlink" Target="http://www.ncbi.nlm.nih.gov/pubmed/25617357" TargetMode="External" Id="Re222171470c24626" /><Relationship Type="http://schemas.openxmlformats.org/officeDocument/2006/relationships/hyperlink" Target="http://www.ncbi.nlm.nih.gov/pubmed/25111947" TargetMode="External" Id="Rafb21f556cc44fe5" /><Relationship Type="http://schemas.openxmlformats.org/officeDocument/2006/relationships/hyperlink" Target="http://www.ncbi.nlm.nih.gov/pubmed/24899636" TargetMode="External" Id="R7f72a96ccc13453b" /><Relationship Type="http://schemas.openxmlformats.org/officeDocument/2006/relationships/hyperlink" Target="http://www.ncbi.nlm.nih.gov/pubmed/22709585" TargetMode="External" Id="R87670c2156cb479a" /><Relationship Type="http://schemas.openxmlformats.org/officeDocument/2006/relationships/hyperlink" Target="http://www.ncbi.nlm.nih.gov/pubmed/21919107" TargetMode="External" Id="Rc4f8e27705b841b3" /><Relationship Type="http://schemas.openxmlformats.org/officeDocument/2006/relationships/hyperlink" Target="http://www.ncbi.nlm.nih.gov/pubmed/19197988" TargetMode="External" Id="Raade6f24bd5e44ec" /><Relationship Type="http://schemas.openxmlformats.org/officeDocument/2006/relationships/hyperlink" Target="http://www.ncbi.nlm.nih.gov/pubmed/18935984" TargetMode="External" Id="Rd9c2344776564118" /><Relationship Type="http://schemas.openxmlformats.org/officeDocument/2006/relationships/hyperlink" Target="http://www.ncbi.nlm.nih.gov/pubmed/15371342" TargetMode="External" Id="R0f9387d8fde245dd" /><Relationship Type="http://schemas.openxmlformats.org/officeDocument/2006/relationships/hyperlink" Target="http://www.ncbi.nlm.nih.gov/pubmed/15121847" TargetMode="External" Id="R9f3f19aa4a0a4c07" /><Relationship Type="http://schemas.openxmlformats.org/officeDocument/2006/relationships/hyperlink" Target="http://www.ncbi.nlm.nih.gov/pubmed/11884624" TargetMode="External" Id="Ra8a5ba84b8b04a8c" /><Relationship Type="http://schemas.openxmlformats.org/officeDocument/2006/relationships/hyperlink" Target="http://www.ncbi.nlm.nih.gov/pubmed/10779341" TargetMode="External" Id="Rb6726807200e42c6" /><Relationship Type="http://schemas.openxmlformats.org/officeDocument/2006/relationships/hyperlink" Target="http://www.ncbi.nlm.nih.gov/pubmed/9765213" TargetMode="External" Id="Rba38a50d2dd54245" /><Relationship Type="http://schemas.openxmlformats.org/officeDocument/2006/relationships/hyperlink" Target="http://www.ncbi.nlm.nih.gov/pubmed/9325255" TargetMode="External" Id="R97900aa615d64c8a" /><Relationship Type="http://schemas.openxmlformats.org/officeDocument/2006/relationships/hyperlink" Target="http://www.ncbi.nlm.nih.gov/pubmed/8790390" TargetMode="External" Id="R07a189a138034c17" /><Relationship Type="http://schemas.openxmlformats.org/officeDocument/2006/relationships/hyperlink" Target="http://www.ncbi.nlm.nih.gov/pubmed/7545495" TargetMode="External" Id="R2f1d9f5028104cde" /><Relationship Type="http://schemas.openxmlformats.org/officeDocument/2006/relationships/hyperlink" Target="http://www.ncbi.nlm.nih.gov/pubmed/7517187" TargetMode="External" Id="R81c4293076544662" /><Relationship Type="http://schemas.openxmlformats.org/officeDocument/2006/relationships/hyperlink" Target="http://www.ncbi.nlm.nih.gov/pubmed/1375227" TargetMode="External" Id="R5651e08c4626412b" /></Relationships>
</file>

<file path=docProps/custom.xml><?xml version="1.0" encoding="utf-8"?>
<Properties xmlns:vt="http://schemas.openxmlformats.org/officeDocument/2006/docPropsVTypes" xmlns="http://schemas.openxmlformats.org/officeDocument/2006/custom-properties">
  <property fmtid="{D5CDD505-2E9C-101B-9397-08002B2CF9AE}" pid="2" name="profile_name">
    <vt:lpwstr>Carlos A. Torres-Ramos Ph.D.</vt:lpwstr>
  </property>
  <property fmtid="{D5CDD505-2E9C-101B-9397-08002B2CF9AE}" pid="3" name="profile_institution">
    <vt:lpwstr>      University of Puerto Rico</vt:lpwstr>
  </property>
  <property fmtid="{D5CDD505-2E9C-101B-9397-08002B2CF9AE}" pid="4" name="profile_department">
    <vt:lpwstr>      Department of Physiology</vt:lpwstr>
  </property>
  <property fmtid="{D5CDD505-2E9C-101B-9397-08002B2CF9AE}" pid="5" name="profile_division">
    <vt:lpwstr>      "Cancer","Genes and Environmental Health/Toxicology","Obesity and Metabolic Syndromes"</vt:lpwstr>
  </property>
  <property fmtid="{D5CDD505-2E9C-101B-9397-08002B2CF9AE}" pid="6" name="profile_title">
    <vt:lpwstr>      Title: Principal Investigator</vt:lpwstr>
  </property>
  <property fmtid="{D5CDD505-2E9C-101B-9397-08002B2CF9AE}" pid="7" name="profile_rank">
    <vt:lpwstr>      Rank: Associate Professor</vt:lpwstr>
  </property>
  <property fmtid="{D5CDD505-2E9C-101B-9397-08002B2CF9AE}" pid="8" name="profile_address">
    <vt:lpwstr>      PO Box 365067</vt:lpwstr>
  </property>
  <property fmtid="{D5CDD505-2E9C-101B-9397-08002B2CF9AE}" pid="9" name="profile_city_state_zip">
    <vt:lpwstr>      San Juan, PR 00936-5067</vt:lpwstr>
  </property>
  <property fmtid="{D5CDD505-2E9C-101B-9397-08002B2CF9AE}" pid="10" name="profile_email">
    <vt:lpwstr>      Email: carlos.torres27@upr.edu</vt:lpwstr>
  </property>
  <property fmtid="{D5CDD505-2E9C-101B-9397-08002B2CF9AE}" pid="11" name="profile_phone">
    <vt:lpwstr>      Telephone: 787-758-2525 x1393</vt:lpwstr>
  </property>
  <property fmtid="{D5CDD505-2E9C-101B-9397-08002B2CF9AE}" pid="12" name="current_date">
    <vt:lpwstr>3/28/2024</vt:lpwstr>
  </property>
  <property fmtid="{D5CDD505-2E9C-101B-9397-08002B2CF9AE}" pid="13" name="publication_count">
    <vt:i4>20</vt:i4>
  </property>
</Properties>
</file>